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Valberedningen förslag för LUH styrelse årsmötet 2402: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Ordförande: Olivia Gustafsson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Omval 1 år tom 2502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Ordinarie ledamöter: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Sofie Uppman Bruce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Omval 2 år tom 2602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Ing-Christin Lindblom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Omval 2 år tom 2602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Malin Öster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Omval 2 år tom 2602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Suppeleant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Pauline Siljegren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Nyval tom 2602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Revisor: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Anna Kågeman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Omval 1 år tom 2502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Revisorssuppleant: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Anders Nyholm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Omval 1 år tom 2502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Övriga ledamöter har 1 år kvar tom 2502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Ordinarie ledamöter: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Elin Falander (kvar 1 år) (tom 2502)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Rolf Gustafsson (kvar 1 år) (tom 2502)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Yvonne Öster (kvar 1 år ) (tom 2502)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Suppleanter: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Ida Wessberg (kvar 1 år) (tom 2502)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v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